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E06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val="0"/>
          <w:bCs w:val="0"/>
          <w:i w:val="0"/>
          <w:iCs w:val="0"/>
          <w:caps w:val="0"/>
          <w:color w:val="000000"/>
          <w:spacing w:val="0"/>
        </w:rPr>
      </w:pPr>
      <w:r>
        <w:rPr>
          <w:rFonts w:hint="eastAsia" w:ascii="微软雅黑" w:hAnsi="微软雅黑" w:eastAsia="微软雅黑" w:cs="微软雅黑"/>
          <w:b w:val="0"/>
          <w:bCs w:val="0"/>
          <w:i w:val="0"/>
          <w:iCs w:val="0"/>
          <w:caps w:val="0"/>
          <w:color w:val="000000"/>
          <w:spacing w:val="0"/>
        </w:rPr>
        <w:t>南昌市人民医院</w:t>
      </w:r>
      <w:r>
        <w:rPr>
          <w:rFonts w:hint="eastAsia" w:ascii="微软雅黑" w:hAnsi="微软雅黑" w:eastAsia="微软雅黑" w:cs="微软雅黑"/>
          <w:b w:val="0"/>
          <w:bCs w:val="0"/>
          <w:i w:val="0"/>
          <w:iCs w:val="0"/>
          <w:caps w:val="0"/>
          <w:color w:val="000000"/>
          <w:spacing w:val="0"/>
          <w:lang w:val="en-US" w:eastAsia="zh-CN"/>
        </w:rPr>
        <w:t>抚河内镜维保</w:t>
      </w:r>
      <w:r>
        <w:rPr>
          <w:rFonts w:hint="eastAsia" w:ascii="微软雅黑" w:hAnsi="微软雅黑" w:eastAsia="微软雅黑" w:cs="微软雅黑"/>
          <w:b w:val="0"/>
          <w:bCs w:val="0"/>
          <w:i w:val="0"/>
          <w:iCs w:val="0"/>
          <w:caps w:val="0"/>
          <w:color w:val="000000"/>
          <w:spacing w:val="0"/>
        </w:rPr>
        <w:t>服务院内比选采购公告</w:t>
      </w:r>
    </w:p>
    <w:p w14:paraId="6418F6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ind w:left="0" w:right="0" w:firstLine="0"/>
        <w:jc w:val="center"/>
        <w:rPr>
          <w:rFonts w:hint="default" w:ascii="微软雅黑" w:hAnsi="微软雅黑" w:eastAsia="微软雅黑" w:cs="微软雅黑"/>
          <w:b w:val="0"/>
          <w:bCs w:val="0"/>
          <w:i w:val="0"/>
          <w:iCs w:val="0"/>
          <w:caps w:val="0"/>
          <w:color w:val="5A5A5A"/>
          <w:spacing w:val="0"/>
          <w:lang w:val="en-US" w:eastAsia="zh-CN"/>
        </w:rPr>
      </w:pPr>
      <w:r>
        <w:rPr>
          <w:rFonts w:hint="eastAsia" w:ascii="微软雅黑" w:hAnsi="微软雅黑" w:eastAsia="微软雅黑" w:cs="微软雅黑"/>
          <w:b w:val="0"/>
          <w:bCs w:val="0"/>
          <w:i w:val="0"/>
          <w:iCs w:val="0"/>
          <w:caps w:val="0"/>
          <w:color w:val="5A5A5A"/>
          <w:spacing w:val="0"/>
        </w:rPr>
        <w:t>2025-0</w:t>
      </w:r>
      <w:r>
        <w:rPr>
          <w:rFonts w:hint="eastAsia" w:ascii="微软雅黑" w:hAnsi="微软雅黑" w:eastAsia="微软雅黑" w:cs="微软雅黑"/>
          <w:b w:val="0"/>
          <w:bCs w:val="0"/>
          <w:i w:val="0"/>
          <w:iCs w:val="0"/>
          <w:caps w:val="0"/>
          <w:color w:val="5A5A5A"/>
          <w:spacing w:val="0"/>
          <w:lang w:val="en-US" w:eastAsia="zh-CN"/>
        </w:rPr>
        <w:t>6</w:t>
      </w:r>
      <w:r>
        <w:rPr>
          <w:rFonts w:hint="eastAsia" w:ascii="微软雅黑" w:hAnsi="微软雅黑" w:eastAsia="微软雅黑" w:cs="微软雅黑"/>
          <w:b w:val="0"/>
          <w:bCs w:val="0"/>
          <w:i w:val="0"/>
          <w:iCs w:val="0"/>
          <w:caps w:val="0"/>
          <w:color w:val="5A5A5A"/>
          <w:spacing w:val="0"/>
        </w:rPr>
        <w:t>-</w:t>
      </w:r>
      <w:r>
        <w:rPr>
          <w:rFonts w:hint="eastAsia" w:ascii="微软雅黑" w:hAnsi="微软雅黑" w:eastAsia="微软雅黑" w:cs="微软雅黑"/>
          <w:b w:val="0"/>
          <w:bCs w:val="0"/>
          <w:i w:val="0"/>
          <w:iCs w:val="0"/>
          <w:caps w:val="0"/>
          <w:color w:val="5A5A5A"/>
          <w:spacing w:val="0"/>
          <w:lang w:val="en-US" w:eastAsia="zh-CN"/>
        </w:rPr>
        <w:t>16</w:t>
      </w:r>
    </w:p>
    <w:p w14:paraId="47DB2D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14:paraId="1538EA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80" w:right="0" w:hanging="480"/>
        <w:jc w:val="left"/>
      </w:pPr>
      <w:r>
        <w:rPr>
          <w:rFonts w:hint="eastAsia" w:ascii="微软雅黑" w:hAnsi="微软雅黑" w:eastAsia="微软雅黑" w:cs="微软雅黑"/>
          <w:i w:val="0"/>
          <w:iCs w:val="0"/>
          <w:caps w:val="0"/>
          <w:color w:val="5A5A5A"/>
          <w:spacing w:val="0"/>
          <w:sz w:val="16"/>
          <w:szCs w:val="16"/>
        </w:rPr>
        <w:t>一、项目内容</w:t>
      </w:r>
    </w:p>
    <w:p w14:paraId="6E58ED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tbl>
      <w:tblPr>
        <w:tblStyle w:val="5"/>
        <w:tblpPr w:vertAnchor="text" w:tblpXSpec="left"/>
        <w:tblW w:w="963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0"/>
        <w:gridCol w:w="1801"/>
        <w:gridCol w:w="7353"/>
      </w:tblGrid>
      <w:tr w14:paraId="6301D1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84" w:type="dxa"/>
            <w:tcBorders>
              <w:top w:val="single" w:color="auto" w:sz="8" w:space="0"/>
              <w:left w:val="single" w:color="auto" w:sz="8" w:space="0"/>
              <w:bottom w:val="single" w:color="auto" w:sz="8" w:space="0"/>
              <w:right w:val="single" w:color="auto" w:sz="8" w:space="0"/>
            </w:tcBorders>
            <w:shd w:val="clear" w:color="auto" w:fill="auto"/>
            <w:vAlign w:val="top"/>
          </w:tcPr>
          <w:p w14:paraId="2FB55B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color w:val="5A5A5A"/>
                <w:kern w:val="0"/>
                <w:sz w:val="16"/>
                <w:szCs w:val="16"/>
                <w:lang w:val="en-US" w:eastAsia="zh-CN" w:bidi="ar"/>
              </w:rPr>
              <w:t>序号</w:t>
            </w:r>
          </w:p>
        </w:tc>
        <w:tc>
          <w:tcPr>
            <w:tcW w:w="1440" w:type="dxa"/>
            <w:tcBorders>
              <w:top w:val="single" w:color="auto" w:sz="8" w:space="0"/>
              <w:left w:val="single" w:color="auto" w:sz="8" w:space="0"/>
              <w:bottom w:val="single" w:color="auto" w:sz="8" w:space="0"/>
              <w:right w:val="single" w:color="auto" w:sz="8" w:space="0"/>
            </w:tcBorders>
            <w:shd w:val="clear" w:color="auto" w:fill="auto"/>
            <w:vAlign w:val="center"/>
          </w:tcPr>
          <w:p w14:paraId="0C4E2C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color w:val="5A5A5A"/>
                <w:kern w:val="0"/>
                <w:sz w:val="16"/>
                <w:szCs w:val="16"/>
                <w:lang w:val="en-US" w:eastAsia="zh-CN" w:bidi="ar"/>
              </w:rPr>
              <w:t>项目名称</w:t>
            </w:r>
          </w:p>
        </w:tc>
        <w:tc>
          <w:tcPr>
            <w:tcW w:w="5880" w:type="dxa"/>
            <w:tcBorders>
              <w:top w:val="single" w:color="auto" w:sz="8" w:space="0"/>
              <w:left w:val="single" w:color="auto" w:sz="8" w:space="0"/>
              <w:bottom w:val="single" w:color="auto" w:sz="8" w:space="0"/>
              <w:right w:val="single" w:color="auto" w:sz="8" w:space="0"/>
            </w:tcBorders>
            <w:shd w:val="clear" w:color="auto" w:fill="auto"/>
            <w:vAlign w:val="top"/>
          </w:tcPr>
          <w:p w14:paraId="774366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color w:val="5A5A5A"/>
                <w:kern w:val="0"/>
                <w:sz w:val="16"/>
                <w:szCs w:val="16"/>
                <w:lang w:val="en-US" w:eastAsia="zh-CN" w:bidi="ar"/>
              </w:rPr>
              <w:t>服务需求</w:t>
            </w:r>
          </w:p>
        </w:tc>
      </w:tr>
      <w:tr w14:paraId="35BBAF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84" w:type="dxa"/>
            <w:tcBorders>
              <w:top w:val="single" w:color="auto" w:sz="8" w:space="0"/>
              <w:left w:val="single" w:color="auto" w:sz="8" w:space="0"/>
              <w:bottom w:val="single" w:color="auto" w:sz="8" w:space="0"/>
              <w:right w:val="single" w:color="auto" w:sz="8" w:space="0"/>
            </w:tcBorders>
            <w:shd w:val="clear" w:color="auto" w:fill="auto"/>
            <w:vAlign w:val="center"/>
          </w:tcPr>
          <w:p w14:paraId="1CC8F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color w:val="5A5A5A"/>
                <w:kern w:val="0"/>
                <w:sz w:val="16"/>
                <w:szCs w:val="16"/>
                <w:lang w:val="en-US" w:eastAsia="zh-CN" w:bidi="ar"/>
              </w:rPr>
              <w:t>1</w:t>
            </w:r>
          </w:p>
        </w:tc>
        <w:tc>
          <w:tcPr>
            <w:tcW w:w="1440" w:type="dxa"/>
            <w:tcBorders>
              <w:top w:val="single" w:color="auto" w:sz="8" w:space="0"/>
              <w:left w:val="single" w:color="auto" w:sz="8" w:space="0"/>
              <w:bottom w:val="single" w:color="auto" w:sz="8" w:space="0"/>
              <w:right w:val="single" w:color="auto" w:sz="8" w:space="0"/>
            </w:tcBorders>
            <w:shd w:val="clear" w:color="auto" w:fill="auto"/>
            <w:vAlign w:val="center"/>
          </w:tcPr>
          <w:p w14:paraId="32ACBB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5A5A5A"/>
                <w:kern w:val="0"/>
                <w:sz w:val="16"/>
                <w:szCs w:val="16"/>
                <w:lang w:val="en-US" w:eastAsia="zh-CN" w:bidi="ar"/>
              </w:rPr>
              <w:t>抚河内镜维保服务</w:t>
            </w:r>
          </w:p>
        </w:tc>
        <w:tc>
          <w:tcPr>
            <w:tcW w:w="5880" w:type="dxa"/>
            <w:tcBorders>
              <w:top w:val="single" w:color="auto" w:sz="8" w:space="0"/>
              <w:left w:val="single" w:color="auto" w:sz="8" w:space="0"/>
              <w:bottom w:val="single" w:color="auto" w:sz="8" w:space="0"/>
              <w:right w:val="single" w:color="auto" w:sz="8" w:space="0"/>
            </w:tcBorders>
            <w:shd w:val="clear" w:color="auto" w:fill="auto"/>
            <w:vAlign w:val="center"/>
          </w:tcPr>
          <w:p w14:paraId="1457CD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color w:val="5A5A5A"/>
                <w:kern w:val="0"/>
                <w:sz w:val="16"/>
                <w:szCs w:val="16"/>
                <w:lang w:val="en-US" w:eastAsia="zh-CN" w:bidi="ar"/>
              </w:rPr>
            </w:pPr>
            <w:r>
              <w:rPr>
                <w:rFonts w:hint="eastAsia" w:ascii="宋体" w:hAnsi="宋体" w:eastAsia="宋体" w:cs="宋体"/>
                <w:color w:val="5A5A5A"/>
                <w:kern w:val="0"/>
                <w:sz w:val="16"/>
                <w:szCs w:val="16"/>
                <w:lang w:val="en-US" w:eastAsia="zh-CN" w:bidi="ar"/>
              </w:rPr>
              <w:t>1、 维保设备清单（详见附件）</w:t>
            </w:r>
          </w:p>
          <w:p w14:paraId="06B8F3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5A5A5A"/>
                <w:kern w:val="0"/>
                <w:sz w:val="16"/>
                <w:szCs w:val="16"/>
                <w:lang w:val="en-US" w:eastAsia="zh-CN" w:bidi="ar"/>
              </w:rPr>
            </w:pPr>
            <w:r>
              <w:rPr>
                <w:rFonts w:hint="eastAsia" w:ascii="宋体" w:hAnsi="宋体" w:eastAsia="宋体" w:cs="宋体"/>
                <w:color w:val="5A5A5A"/>
                <w:kern w:val="0"/>
                <w:sz w:val="16"/>
                <w:szCs w:val="16"/>
                <w:lang w:val="en-US" w:eastAsia="zh-CN" w:bidi="ar"/>
              </w:rPr>
              <w:t>2、 服务期：12个月。</w:t>
            </w:r>
          </w:p>
          <w:p w14:paraId="48E8AD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color w:val="5A5A5A"/>
                <w:kern w:val="0"/>
                <w:sz w:val="16"/>
                <w:szCs w:val="16"/>
                <w:lang w:val="en-US" w:eastAsia="zh-CN" w:bidi="ar"/>
              </w:rPr>
            </w:pPr>
            <w:r>
              <w:rPr>
                <w:rFonts w:hint="eastAsia" w:ascii="宋体" w:hAnsi="宋体" w:eastAsia="宋体" w:cs="宋体"/>
                <w:color w:val="5A5A5A"/>
                <w:kern w:val="0"/>
                <w:sz w:val="16"/>
                <w:szCs w:val="16"/>
                <w:lang w:val="en-US" w:eastAsia="zh-CN" w:bidi="ar"/>
              </w:rPr>
              <w:t>3、 服务地点：南昌市人民医院抚河院区。</w:t>
            </w:r>
          </w:p>
          <w:p w14:paraId="79A492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5A5A5A"/>
                <w:kern w:val="0"/>
                <w:sz w:val="16"/>
                <w:szCs w:val="16"/>
                <w:lang w:val="en-US" w:eastAsia="zh-CN" w:bidi="ar"/>
              </w:rPr>
            </w:pPr>
            <w:r>
              <w:rPr>
                <w:rFonts w:hint="eastAsia" w:ascii="宋体" w:hAnsi="宋体" w:eastAsia="宋体" w:cs="宋体"/>
                <w:color w:val="5A5A5A"/>
                <w:kern w:val="0"/>
                <w:sz w:val="16"/>
                <w:szCs w:val="16"/>
                <w:lang w:val="en-US" w:eastAsia="zh-CN" w:bidi="ar"/>
              </w:rPr>
              <w:t>4、 设备维修期间，维保方提供同型号备用设备，如不能提供该服务，将从服务费中扣除5000元/次作为赔偿。对需外送拆卸维修的设备，维保方应提供内镜检修情况报告，并附检测故障的报告和图片。</w:t>
            </w:r>
          </w:p>
          <w:p w14:paraId="180E36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5A5A5A"/>
                <w:kern w:val="0"/>
                <w:sz w:val="16"/>
                <w:szCs w:val="16"/>
                <w:lang w:val="en-US" w:eastAsia="zh-CN" w:bidi="ar"/>
              </w:rPr>
            </w:pPr>
            <w:r>
              <w:rPr>
                <w:rFonts w:hint="eastAsia" w:ascii="宋体" w:hAnsi="宋体" w:eastAsia="宋体" w:cs="宋体"/>
                <w:color w:val="5A5A5A"/>
                <w:kern w:val="0"/>
                <w:sz w:val="16"/>
                <w:szCs w:val="16"/>
                <w:lang w:val="en-US" w:eastAsia="zh-CN" w:bidi="ar"/>
              </w:rPr>
              <w:t>5、更换的备件必须是原厂全新配件。如发现不是原厂全新配件，将从服务费中扣除5000元/次作为赔偿；维保方承诺协议期内的设备总开机率为95%以上(以365天/年计算),若未达到开机率要求，超过一天延长3天维保时间，并从服务费中扣除5000元/天作为赔偿。</w:t>
            </w:r>
          </w:p>
          <w:p w14:paraId="642401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5A5A5A"/>
                <w:kern w:val="0"/>
                <w:sz w:val="16"/>
                <w:szCs w:val="16"/>
                <w:lang w:val="en-US" w:eastAsia="zh-CN" w:bidi="ar"/>
              </w:rPr>
            </w:pPr>
            <w:r>
              <w:rPr>
                <w:rFonts w:hint="eastAsia" w:ascii="宋体" w:hAnsi="宋体" w:eastAsia="宋体" w:cs="宋体"/>
                <w:color w:val="5A5A5A"/>
                <w:kern w:val="0"/>
                <w:sz w:val="16"/>
                <w:szCs w:val="16"/>
                <w:lang w:val="en-US" w:eastAsia="zh-CN" w:bidi="ar"/>
              </w:rPr>
              <w:t>6、维保方半年向采购人提供维保情况小结(包括维修保养次数、更换备件清单等维修资料。维保期满提供维保期内的服务情况总结。</w:t>
            </w:r>
          </w:p>
          <w:p w14:paraId="7FC2FD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5A5A5A"/>
                <w:kern w:val="0"/>
                <w:sz w:val="16"/>
                <w:szCs w:val="16"/>
                <w:lang w:val="en-US" w:eastAsia="zh-CN" w:bidi="ar"/>
              </w:rPr>
            </w:pPr>
            <w:r>
              <w:rPr>
                <w:rFonts w:hint="eastAsia" w:ascii="宋体" w:hAnsi="宋体" w:eastAsia="宋体" w:cs="宋体"/>
                <w:color w:val="5A5A5A"/>
                <w:kern w:val="0"/>
                <w:sz w:val="16"/>
                <w:szCs w:val="16"/>
                <w:lang w:val="en-US" w:eastAsia="zh-CN" w:bidi="ar"/>
              </w:rPr>
              <w:t>7、定期保养要求（详见附件）</w:t>
            </w:r>
          </w:p>
          <w:p w14:paraId="0CCC36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5A5A5A"/>
                <w:kern w:val="0"/>
                <w:sz w:val="16"/>
                <w:szCs w:val="16"/>
                <w:lang w:val="en-US" w:eastAsia="zh-CN" w:bidi="ar"/>
              </w:rPr>
            </w:pPr>
            <w:r>
              <w:rPr>
                <w:rFonts w:hint="eastAsia" w:ascii="宋体" w:hAnsi="宋体" w:eastAsia="宋体" w:cs="宋体"/>
                <w:color w:val="5A5A5A"/>
                <w:kern w:val="0"/>
                <w:sz w:val="16"/>
                <w:szCs w:val="16"/>
                <w:lang w:val="en-US" w:eastAsia="zh-CN" w:bidi="ar"/>
              </w:rPr>
              <w:t>8、维保费用包含采购人所有应付款项，维保方承诺保修期间在保目录内设备的维修服务不另收取配件费、运输费、检测费、保养费、上门费及工时费等,且所有维修没有次数限制。</w:t>
            </w:r>
          </w:p>
          <w:p w14:paraId="27D3EA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5A5A5A"/>
                <w:kern w:val="0"/>
                <w:sz w:val="16"/>
                <w:szCs w:val="16"/>
                <w:lang w:val="en-US" w:eastAsia="zh-CN" w:bidi="ar"/>
              </w:rPr>
              <w:t>9、付款方式：服务期满6个月，支付维保费用的50%；服务期满12个月，支付维保费用的50%。</w:t>
            </w:r>
          </w:p>
        </w:tc>
      </w:tr>
    </w:tbl>
    <w:p w14:paraId="377A0B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p w14:paraId="468B9D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b/>
          <w:bCs/>
          <w:i w:val="0"/>
          <w:iCs w:val="0"/>
          <w:caps w:val="0"/>
          <w:color w:val="5A5A5A"/>
          <w:spacing w:val="0"/>
          <w:kern w:val="0"/>
          <w:sz w:val="16"/>
          <w:szCs w:val="16"/>
          <w:lang w:val="en-US" w:eastAsia="zh-CN" w:bidi="ar"/>
        </w:rPr>
        <w:t>二、供应商资格要求</w:t>
      </w:r>
    </w:p>
    <w:p w14:paraId="4BDC52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5A5A5A"/>
          <w:spacing w:val="0"/>
          <w:kern w:val="0"/>
          <w:sz w:val="16"/>
          <w:szCs w:val="16"/>
          <w:lang w:val="en-US" w:eastAsia="zh-CN" w:bidi="ar"/>
        </w:rPr>
        <w:t>2.1 具有独立承担民事责任的能力；</w:t>
      </w:r>
    </w:p>
    <w:p w14:paraId="367C91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5A5A5A"/>
          <w:spacing w:val="0"/>
          <w:kern w:val="0"/>
          <w:sz w:val="16"/>
          <w:szCs w:val="16"/>
          <w:lang w:val="en-US" w:eastAsia="zh-CN" w:bidi="ar"/>
        </w:rPr>
        <w:t>2.2 具有良好的商业信誉和健全的财务会计制度；</w:t>
      </w:r>
    </w:p>
    <w:p w14:paraId="6EEE74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5A5A5A"/>
          <w:spacing w:val="0"/>
          <w:kern w:val="0"/>
          <w:sz w:val="16"/>
          <w:szCs w:val="16"/>
          <w:lang w:val="en-US" w:eastAsia="zh-CN" w:bidi="ar"/>
        </w:rPr>
        <w:t>2.3 具有履行合同所必需的设备和专业技术能力；</w:t>
      </w:r>
    </w:p>
    <w:p w14:paraId="29F4C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5A5A5A"/>
          <w:spacing w:val="0"/>
          <w:kern w:val="0"/>
          <w:sz w:val="16"/>
          <w:szCs w:val="16"/>
          <w:lang w:val="en-US" w:eastAsia="zh-CN" w:bidi="ar"/>
        </w:rPr>
        <w:t>2.4 有依法缴纳税收和社会保障资金的良好记录；</w:t>
      </w:r>
    </w:p>
    <w:p w14:paraId="67F82F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5A5A5A"/>
          <w:spacing w:val="0"/>
          <w:kern w:val="0"/>
          <w:sz w:val="16"/>
          <w:szCs w:val="16"/>
          <w:lang w:val="en-US" w:eastAsia="zh-CN" w:bidi="ar"/>
        </w:rPr>
        <w:t>2.5 未列入严重失信主体名单、失信被执行人、税收违法黑名单、政府采购严重违法失信行为记录名单、医院黑名单等不良记录或禁业名单；近三年内，在经营活动中没有重大违法记录；</w:t>
      </w:r>
    </w:p>
    <w:p w14:paraId="49C283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pPr>
      <w:r>
        <w:rPr>
          <w:rFonts w:hint="eastAsia" w:ascii="微软雅黑" w:hAnsi="微软雅黑" w:eastAsia="微软雅黑" w:cs="微软雅黑"/>
          <w:i w:val="0"/>
          <w:iCs w:val="0"/>
          <w:caps w:val="0"/>
          <w:color w:val="5A5A5A"/>
          <w:spacing w:val="0"/>
          <w:kern w:val="0"/>
          <w:sz w:val="16"/>
          <w:szCs w:val="16"/>
          <w:lang w:val="en-US" w:eastAsia="zh-CN" w:bidi="ar"/>
        </w:rPr>
        <w:t>2.6 报名产品在企业经营范围内并满足医院使用和管理要求；</w:t>
      </w:r>
    </w:p>
    <w:p w14:paraId="0F5591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5A5A5A"/>
          <w:spacing w:val="0"/>
          <w:kern w:val="0"/>
          <w:sz w:val="16"/>
          <w:szCs w:val="16"/>
          <w:lang w:val="en-US" w:eastAsia="zh-CN" w:bidi="ar"/>
        </w:rPr>
        <w:t>2.7 法律、行政法规规定的其他条件。</w:t>
      </w:r>
    </w:p>
    <w:p w14:paraId="6E9B65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b/>
          <w:bCs/>
          <w:i w:val="0"/>
          <w:iCs w:val="0"/>
          <w:caps w:val="0"/>
          <w:color w:val="5A5A5A"/>
          <w:spacing w:val="0"/>
          <w:kern w:val="0"/>
          <w:sz w:val="16"/>
          <w:szCs w:val="16"/>
          <w:lang w:val="en-US" w:eastAsia="zh-CN" w:bidi="ar"/>
        </w:rPr>
        <w:t>三、报名须知：</w:t>
      </w:r>
    </w:p>
    <w:p w14:paraId="7F4483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5A5A5A"/>
          <w:spacing w:val="0"/>
          <w:kern w:val="0"/>
          <w:sz w:val="16"/>
          <w:szCs w:val="16"/>
          <w:lang w:val="en-US" w:eastAsia="zh-CN" w:bidi="ar"/>
        </w:rPr>
        <w:t>3.1 报名时间：自公告之日起5个工作日，过期不予受理。</w:t>
      </w:r>
    </w:p>
    <w:p w14:paraId="2B8185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5A5A5A"/>
          <w:spacing w:val="0"/>
          <w:kern w:val="0"/>
          <w:sz w:val="16"/>
          <w:szCs w:val="16"/>
          <w:lang w:val="en-US" w:eastAsia="zh-CN" w:bidi="ar"/>
        </w:rPr>
        <w:t>3.2 报名材料（按下述顺序列明目录、页码并胶装成册，所有复印件加盖公章）：</w:t>
      </w:r>
    </w:p>
    <w:p w14:paraId="230E6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5A5A5A"/>
          <w:spacing w:val="0"/>
          <w:kern w:val="0"/>
          <w:sz w:val="16"/>
          <w:szCs w:val="16"/>
          <w:lang w:val="en-US" w:eastAsia="zh-CN" w:bidi="ar"/>
        </w:rPr>
        <w:t>3.2.1 产品彩页、参数、配置清单/服务方案等产品推介材料。</w:t>
      </w:r>
    </w:p>
    <w:p w14:paraId="309DCF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5A5A5A"/>
          <w:spacing w:val="0"/>
          <w:kern w:val="0"/>
          <w:sz w:val="16"/>
          <w:szCs w:val="16"/>
          <w:lang w:val="en-US" w:eastAsia="zh-CN" w:bidi="ar"/>
        </w:rPr>
        <w:t>3.2.2供应商营业执照、资质承诺及廉政承诺（格式详见附件），委托他人报名还须提供法人授权委托书、授权委托人身份证明文件、联系电话及电子邮箱。</w:t>
      </w:r>
    </w:p>
    <w:p w14:paraId="77DABD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5A5A5A"/>
          <w:spacing w:val="0"/>
          <w:kern w:val="0"/>
          <w:sz w:val="16"/>
          <w:szCs w:val="16"/>
          <w:lang w:val="en-US" w:eastAsia="zh-CN" w:bidi="ar"/>
        </w:rPr>
        <w:t>3.3 报名结束后将对报名单位资质进行综合审查，经资格审查合格的厂商方可参与比选，法定代表人为同一自然人、授权委托人为同一自然人或存在直接控股关系的不同供应商不得参加同一项目。</w:t>
      </w:r>
    </w:p>
    <w:p w14:paraId="64CFB0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b/>
          <w:bCs/>
          <w:i w:val="0"/>
          <w:iCs w:val="0"/>
          <w:caps w:val="0"/>
          <w:color w:val="5A5A5A"/>
          <w:spacing w:val="0"/>
          <w:kern w:val="0"/>
          <w:sz w:val="16"/>
          <w:szCs w:val="16"/>
          <w:lang w:val="en-US" w:eastAsia="zh-CN" w:bidi="ar"/>
        </w:rPr>
        <w:t>四、比选须知</w:t>
      </w:r>
    </w:p>
    <w:p w14:paraId="58EA8C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jc w:val="both"/>
      </w:pPr>
      <w:r>
        <w:rPr>
          <w:rFonts w:hint="eastAsia" w:ascii="微软雅黑" w:hAnsi="微软雅黑" w:eastAsia="微软雅黑" w:cs="微软雅黑"/>
          <w:i w:val="0"/>
          <w:iCs w:val="0"/>
          <w:caps w:val="0"/>
          <w:color w:val="5A5A5A"/>
          <w:spacing w:val="0"/>
          <w:sz w:val="16"/>
          <w:szCs w:val="16"/>
        </w:rPr>
        <w:t>4.1本次采购采用综合评分法进行比选（评审标准详见附件）；报名供应商于比选现场递交的响应文件（一正四副，按下述顺序列明目录、页码并胶装成册，所有复印件加盖公章）：</w:t>
      </w:r>
    </w:p>
    <w:p w14:paraId="7C6E11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5A5A5A"/>
          <w:spacing w:val="0"/>
          <w:kern w:val="0"/>
          <w:sz w:val="16"/>
          <w:szCs w:val="16"/>
          <w:lang w:val="en-US" w:eastAsia="zh-CN" w:bidi="ar"/>
        </w:rPr>
        <w:t>4.1.1响应产品报价明细表。</w:t>
      </w:r>
    </w:p>
    <w:p w14:paraId="158C64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5A5A5A"/>
          <w:spacing w:val="0"/>
          <w:kern w:val="0"/>
          <w:sz w:val="16"/>
          <w:szCs w:val="16"/>
          <w:lang w:val="en-US" w:eastAsia="zh-CN" w:bidi="ar"/>
        </w:rPr>
        <w:t>4.1.2报名材料所要求的内容（正本中法人授权委托书为原件）。</w:t>
      </w:r>
    </w:p>
    <w:p w14:paraId="2D2C8C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5A5A5A"/>
          <w:spacing w:val="0"/>
          <w:kern w:val="0"/>
          <w:sz w:val="16"/>
          <w:szCs w:val="16"/>
          <w:lang w:val="en-US" w:eastAsia="zh-CN" w:bidi="ar"/>
        </w:rPr>
        <w:t>4.1.3近3年同类项目销售业绩（须提供合同复印件并加盖公章）、服务承诺函及售后联系方式。</w:t>
      </w:r>
    </w:p>
    <w:p w14:paraId="50B52E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5A5A5A"/>
          <w:spacing w:val="0"/>
          <w:kern w:val="0"/>
          <w:sz w:val="16"/>
          <w:szCs w:val="16"/>
          <w:lang w:val="en-US" w:eastAsia="zh-CN" w:bidi="ar"/>
        </w:rPr>
        <w:t>4.2 法定代表人或授权委托人作为现场代表须携带身份证、驾驶证或护照等有效身份证件。</w:t>
      </w:r>
    </w:p>
    <w:p w14:paraId="0344E8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5A5A5A"/>
          <w:spacing w:val="0"/>
          <w:kern w:val="0"/>
          <w:sz w:val="16"/>
          <w:szCs w:val="16"/>
          <w:lang w:val="en-US" w:eastAsia="zh-CN" w:bidi="ar"/>
        </w:rPr>
        <w:t>4.3具体比选时间、地点另行通知，迟到或未现场签到者视为放弃参与资格。</w:t>
      </w:r>
    </w:p>
    <w:p w14:paraId="36C438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b/>
          <w:bCs/>
          <w:i w:val="0"/>
          <w:iCs w:val="0"/>
          <w:caps w:val="0"/>
          <w:color w:val="5A5A5A"/>
          <w:spacing w:val="0"/>
          <w:kern w:val="0"/>
          <w:sz w:val="16"/>
          <w:szCs w:val="16"/>
          <w:lang w:val="en-US" w:eastAsia="zh-CN" w:bidi="ar"/>
        </w:rPr>
        <w:t>五、联系方式</w:t>
      </w:r>
    </w:p>
    <w:p w14:paraId="3E37AB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5A5A5A"/>
          <w:spacing w:val="0"/>
          <w:kern w:val="0"/>
          <w:sz w:val="16"/>
          <w:szCs w:val="16"/>
          <w:lang w:val="en-US" w:eastAsia="zh-CN" w:bidi="ar"/>
        </w:rPr>
        <w:t>报名地址：南昌市人民医院朝阳院区行政楼一楼设备管理科；</w:t>
      </w:r>
    </w:p>
    <w:p w14:paraId="711DD6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微软雅黑" w:hAnsi="微软雅黑" w:eastAsia="微软雅黑" w:cs="微软雅黑"/>
          <w:i w:val="0"/>
          <w:iCs w:val="0"/>
          <w:caps w:val="0"/>
          <w:color w:val="5A5A5A"/>
          <w:spacing w:val="0"/>
          <w:kern w:val="0"/>
          <w:sz w:val="16"/>
          <w:szCs w:val="16"/>
          <w:lang w:val="en-US" w:eastAsia="zh-CN" w:bidi="ar"/>
        </w:rPr>
        <w:t>工作时间：上午8时至12时，下午2时30分至5时30分（法定工作日）；</w:t>
      </w:r>
    </w:p>
    <w:p w14:paraId="3C7A2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微软雅黑" w:hAnsi="微软雅黑" w:eastAsia="微软雅黑" w:cs="微软雅黑"/>
          <w:i w:val="0"/>
          <w:iCs w:val="0"/>
          <w:caps w:val="0"/>
          <w:color w:val="5A5A5A"/>
          <w:spacing w:val="0"/>
          <w:kern w:val="0"/>
          <w:sz w:val="16"/>
          <w:szCs w:val="16"/>
          <w:lang w:val="en-US" w:eastAsia="zh-CN" w:bidi="ar"/>
        </w:rPr>
        <w:t>联系人：付孙意    联系电话：0791-86728122</w:t>
      </w:r>
      <w:bookmarkStart w:id="0" w:name="_GoBack"/>
      <w:bookmarkEnd w:id="0"/>
    </w:p>
    <w:p w14:paraId="4117BC39">
      <w:pPr>
        <w:rPr>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E5D20"/>
    <w:rsid w:val="29DD5E24"/>
    <w:rsid w:val="3688639F"/>
    <w:rsid w:val="44F77B63"/>
    <w:rsid w:val="5AE16E8F"/>
    <w:rsid w:val="7CF40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1262</Words>
  <Characters>1355</Characters>
  <Lines>0</Lines>
  <Paragraphs>0</Paragraphs>
  <TotalTime>9</TotalTime>
  <ScaleCrop>false</ScaleCrop>
  <LinksUpToDate>false</LinksUpToDate>
  <CharactersWithSpaces>1375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2025-06-11T09:12:00Z</dcterms:created>
  <dc:creator>yangyulin</dc:creator>
  <cp:lastModifiedBy>杨榆林</cp:lastModifiedBy>
  <dcterms:modified xsi:type="dcterms:W3CDTF">2025-06-16T03:26:16Z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eyJoZGlkIjoiZDAwZjVjOGZjZGNiMjU5MDI2NGUwOGVmMjliMTczMzQiLCJ1c2VySWQiOiI1NjExMDg4NjAifQ==</vt:lpwstr>
  </property>
  <property fmtid="{D5CDD505-2E9C-101B-9397-08002B2CF9AE}" pid="4" name="ICV">
    <vt:lpwstr>43D8E8E1B91A4BFDB910A28D67394426_12</vt:lpwstr>
  </property>
</Properties>
</file>